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8A0" w:rsidRPr="00B948A0" w:rsidRDefault="00B948A0" w:rsidP="00B948A0">
      <w:pPr>
        <w:shd w:val="clear" w:color="auto" w:fill="FFFFFF" w:themeFill="background1"/>
        <w:spacing w:before="240"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AFCFF"/>
        </w:rPr>
      </w:pPr>
      <w:bookmarkStart w:id="0" w:name="_GoBack"/>
      <w:bookmarkEnd w:id="0"/>
      <w:r w:rsidRPr="00B948A0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AFCFF"/>
        </w:rPr>
        <w:t>Нарушение связной речи у слабослышащих школьников</w:t>
      </w:r>
    </w:p>
    <w:p w:rsidR="00725360" w:rsidRPr="00B948A0" w:rsidRDefault="00336A77" w:rsidP="00B948A0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CFF"/>
        </w:rPr>
      </w:pPr>
      <w:r w:rsidRPr="00B948A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AFCFF"/>
        </w:rPr>
        <w:t>Для сурдопедагогики очень важно понимание динамических закономерностей развития речи и мышления, чтобы теоретически обосновать сложный и своеобразный процесс обучения речи детей.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Особую роль в разработке специальных методов обучения связной речи детей с недостатками слуха сыграли теоретические положения Л.С. Выготского о значении слова, о связи обобщения с общением, о закономерностях развития словесных значений, речевом мышлении и смысловой стороне речи.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Для сурдопедагогики очень важно понимание динамических закономерностей развития речи и мышления, чтобы теоретически обосновать сложный и своеобразный процесс обучения речи детей.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Особенностями развития связной речи глухих учащихся занимались ученые А.М. Гольдберг, Р.М.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Боскис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С.А. Зыков, Л.М. Быкова, Ж.И.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Шиф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др.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Опираясь на умения, которыми должны овладеть школьники в процессе обучения языку (названные Т.А.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Ладыженской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), Л.М. Быкова указывает на специфические особенности, проявляющиеся у глухих и слабослышащих учащихся в овладении связной речью. Она указывает, что обучение связной речи в школе глухих осуществляется на основе предметной деятельности и потребностей вызванных этой деятельностью. При этом, в соответствии с требованиями современной коммуникационной системы обучения языку необходимо учитывать три особенности развития связной речи глухих школьников.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«Первая из особенностей состоит в том, что в основу формирования связной речи положен принцип коммуникации. На занятиях ученики отчитываются о выполнении конкретной операции, сообщают о законченной части работы, а далее обо всей работе в целом. В результате получается связный рассказ, отчет, который имеет определенного адресата: учителя, бригадира, ведущего ученика. Для развития самостоятельности учеников и более полного использования учебного времени вводится письменная форма отчета...» [Л.М. Быкова, 1980, с.12].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«Вторая особенность развития связной речи глухих школьников состоит в необходимости актуализации ее </w:t>
      </w: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планирующей функции...» Исследования Т.С. Зыковой показали, что обучение планированию нужно начинать с практической деятельности, сама логика которой показывает последовательность выполняемых действий. Затем уже дети переходят к планированию речевой и мыслительной деятельности. Дети составляют отчеты, краткие и полные заявки, планы, в зависимости от того, в каком классе они обучаются. Обучение глухих и слабослышащих школьников, усложняется из года в год.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«Третья особенность развития связной речи школьников с нарушением слуха состоит в том, что она с самого начала развивается как специфическая форма речевой деятельности...» [Л.М. Быкова, 1980, с.13].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Основную цель обучения глухих школьников Л.М. Быкова формулирует как развитие у них «самостоятельного, творческого, логически стройного мышления и на этой основе - точной и выразительной связной речи, устной и письменной».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 изучении особенностей развития связной речи глухих учащихся младших классов А.М. Гольдберг [1966] выделила 4 основных типа ошибок в самостоятельных письменных работах младших глухих школьников: неправильный выбор слов; искажение звукового состава слов; нарушение грамматических отношений между словами в предложении; пропуск слова. И в сочинениях, и в рассказах были ошибки грамматического плана: нарушение грамматических отношений между словами в предложении. Затем следовали пропуски слов, неправильный выбор слова и искажение звукового состава. На основе проведенных экспериментов А.М. Гольдберг делает вывод, что далеко не исчерпаны все возможности глухих детей в овладении письменной речью.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Изучению, грамматического аспекта речи глухих детей посвящены работы крупнейшего ученого в области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сурдопсихологии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- Ж.И.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Шиф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[1968]. Она пишет о том, что глухие дети часто допускают ошибки в грамматическом оформлении речи, которые называют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аграмматизмами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Ж.И.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Шиф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отмечает, что в составленных глухими предложениях иногда наблюдалось, что суффиксы и флексии, свойственные одним частям речи они ошибочно сочетали с другими. Так же автор отмечает трудность правильного пользования категориями числа, одушевленности, рода, смешения систем склонения, неумением правильно </w:t>
      </w: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пользоваться падежами. Глухих детей очень затрудняет усвоение грамматических отношений управления. Оно всегда требует изменения падежных окончаний.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условиях специального обучения детей с нарушенным слухом эффективность усвоения речи обеспечивается предъявлением наиболее актуального речевого материала для нужд общения и осознания окружающей действительности.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Исходя из этих требований строится процесс обучения глухого и слабослышащего ребенка. И здесь обнаруживаются исключительные затруднения в овладении связной речью. Прежде всего, оказывается, что слабослышащих ребенок правильно (с точки зрения слышащих) выражает свои мысли только в том случае, если учитель дал ему готовый словарь и готовые формы для выражения определенных мыслей. Но как только этот словарь и готовые формы варьируются в речи, дети перестают правильно пользоваться ими и понимать их. При попытке глухих и слабослышащих детей самостоятельно выразить свои мысли обнаруживается своеобразная нелогичность их речи.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самом деле, как показывают исследования Р.М.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Боскис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глухие и слабослышащие дети, как правило, получают в процессе специального обучения построенную словесную речь, и, несмотря на это, при самостоятельном пользовании речью выявляются своеобразные отклонения от привычного для слышащих логического выражения мысли. «Выясняется, что в речевом обиходе у детей, усваивающих речь вне обычного общения, без участия слуха, употребляются в расширенном, диффузном значении, опирающемся на наглядный опыт ребенка. Оказывается, что и приобретенные глухими учащимися слова не только не содержат того отвлеченного обобщения, какое свойственно слову, но не являются даже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пседопонятиями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 [1963, c.123].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Р.М.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Боскис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отмечает также, что в самостоятельных высказываниях слабослышащие учащиеся затрудняются в дифференцированном употреблении различных частей речи.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 первоначальном периоде речевого развития у слабослышащих учащихся отмечается пользование более конкретными частями речи. И это понятно. Если слова, обозначающие конкретные предметы, легко представить в наглядной ситуации, то это труднее сделать в отношении названий действий. Еще труднее обозначать признак предмета, который в </w:t>
      </w: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наглядной ситуации неотделим от него. К тому же имя прилагательное обозначает лишь очень ограниченный круг наглядных признаков: цвет, размер, форму, вкус, материал, температуру. Что касается всех прочих значений, обозначаемых именем прилагательным, то они лишь в очень малой степени бывают связанными с наглядной ситуацией. Даже такие имена прилагательные, которые обозначают черты характера (злой, добрый, веселый, ленивый, аккуратный, умный), хотя и кажутся на первый взгляд доступными, требуют достаточно сложного словесного отвлечения и обобщения и поэтому с трудом усваиваются детьми, у которых речевое мышление осваивается медленнее из-за ограниченного общения при помощи слуха.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Еще большую трудность представляет для слабослышащих детей овладение такими отвлеченными значениями, как наречия, местоимения, предлоги и т.п. (А.Г.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Зикеев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Р.М.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Боскис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К.Г. Коровин и др.). Предметная отнесенность этих грамматических категорий слишком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малоочевидна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их можно усвоить лишь при условии понимания обобщенного значения.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Можно, впрочем, и в этих частях речи отметить разный уровень обобщения. Так, обобщения, заключенные в наречиях, обозначающие качество действия (громко, тихо, быстро, медленно и т.д.), легче усваиваются, чем наречия, обозначающие временные понятия. Некоторые наречия, обозначающие пространственные понятия, удается представить в относительно наглядной форме, и поэтому они могут оказаться более доступными детям, усваивающим речь в условиях ограниченного общения. Например, пространственные понятия «далеко», «близко», «рядом» содержат более конкретные и наглядные обобщения, чем временные понятия «сегодня», «вчера», «раньше» и т.п.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Так как слабослышащие дети чаще всего употребляют слова в том контексте, в каком они были предложены в процессе обучения, не всегда можно заметить, правильно ли усвоено их значение. Но изучение самостоятельных письменных работ дало Р.М.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Боскис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возможность точнее уловить ограниченное понимание наречий, обозначающих временные понятия. Анализ понимания наречий, соответствующих временным понятиям, показывает, что они, смешиваясь в речи учащихся по значению с однокоренными существительными (зимой - зима, утром – утро), не выделяются в самостоятельную семантическую группу.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Редкие случаи употребления слабослышащими детьми местоимений, предлогов, союзов отражают все ту же характерную для них тенденцию наглядно изображать ситуацию, с трудом обобщая ее в словесных формах. В местоимениях отсутствует предметное значение, поэтому они представляют для слабослышащих учеников огромную трудность. Дети очень долго употребляют их </w:t>
      </w:r>
      <w:r w:rsidR="00B948A0"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 большим числом</w:t>
      </w: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ошибок при необходимости самостоятельно выразить мысль в словесных понятиях. Относительное значение местоимений делает эту речевую категорию особенно отвлеченной и поэтому особенно сложной для детей, которые находятся еще на уровне наглядных, а не словесных обобщений. «Относительность значения проявляется в личных местоимениях, в самом деле, как трудно ребенку понять в беседе, что одно и то же лицо в устах одного из собеседников обозначается таким местоимением, как ты, а в устах другого - местоимением я» [К.Г. Коровин, 1950, c. 57].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Анализируя ошибки, допускаемые учениками в оформлении грамматических связей в предложении, Р.М.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Боскис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также наблюдает трудности в овладении грамматическими связями слов в предложении так же, как и трудности в овладении обобщением, заключенным в значениях различных грамматических категорий. В первую очередь это касается выражения смысловых отношений грамматическими средствами.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неправильном пользовании грамматическими закономерностями языка слабослышащим ребенком отражены отнюдь не только трудности внешнего грамматического оформления речи, но и в первую очередь трудности усвоения обобщенных значений, заключенных в грамматических формах. Так, ошибки употребления падежных окончаний для выражения мысли обусловлены отнюдь не только неумением склонять имена существительные, но и непониманием тех значение, какие обозначаются разными падежами. Известно, что даже после длительного обучения слабослышащие дети продолжают употреблять одни падежи вместо других, затрудняются в образовании форм множественного числа, видовых и временных форм глаголов и т.д.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Проведенное А.Г.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Зикеевым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[1976] специальное исследование понимания слабослышащими детьми суффиксов, продемонстрировало те исключительные трудности, с какими </w:t>
      </w: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встречаются слабослышащие дети. В его опытах детям предлагалось вставлять в предложения однокоренные слова, отличающиеся разными суффиксами, или самостоятельно вставлять предложения, пользуясь однокоренными словами. Выполнение этих заданий у большинства учащихся было сопряжено с большим количеством ошибок.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Так проявляется в речи слабослышащих детей недостаточное понимание значений словообразовательных форм.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мы обратимся к построению предложений в самостоятельной устной и письменной речи слабослышащих детей, то встретимся с характерными проявлениями того же сугубо наглядного способа отражения окружающей действительности. Здесь часто недостает то подлежащего, то сказуемого, так как расширенное и неточное необобщенное понимание слов приводит к сокращению состава слов в предложении.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Нужно обратить внимание также и на последовательность слов в предложении в устной речи слабослышащих детей. Очень часто слова, обозначающие предмет, и служащие в предложении дополнением, ставятся впереди глагола.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наглядном обобщении на первый план выступают действующие предметы, а затем уже само действие, которое между ними происходит. Аналогично этому признак предмета обозначается после называния предмета, к которому данный признак относится. Перемещения слов в предложении также делаются по причине недостаточного овладения обобщениями, свойственными языку.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Характерно, что обозначение числа предметов ставится часто после обозначения предметов.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Отрицательная частица «не» ставится после того, как обозначено действие, которое предполагается отрицать. Вопросительные слова также очень часто ставятся на последнее место.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Бедность речи слабослышащих учащихся проявляется также и в отсутствии стилистики оправданных синонимических замен.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Проведенное А.Г.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Зикеевым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исследование выявило также чрезвычайную бедность, ограниченность речи слабослышащих вариативными (как лексическими, так и синтаксическими) средствами выражения того или иного значения. Для любого развитого языка и, в частности для русского, характерна </w:t>
      </w: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чрезвычайная вариативность в способах выражения одного и того же значения. Дети, практически владеющие разговорной речью, широко используют эти возможности. Исследование Зикеева показало, что слабослышащие учащиеся из-за ограниченной речевой практики имеют весьма незначительное количество языковых вариантов для обозначения тех или иных одинаковых по смысловому содержанию явлений или отношений.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целом, рассмотрение особенностей различных аспектов речевой деятельности слабослышащих учащихся убеждает в необходимости специальных уроков по развитию речи в специальной школе. Содержание этих уроков должно определяться системой мероприятий, направленных на коррекцию речи слабослышащих школьников и в первую очередь их связной речи.</w:t>
      </w:r>
    </w:p>
    <w:p w:rsidR="00B948A0" w:rsidRDefault="00B948A0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Список литературы:</w:t>
      </w:r>
    </w:p>
    <w:p w:rsidR="00336A77" w:rsidRPr="00B948A0" w:rsidRDefault="00336A77" w:rsidP="00B948A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1.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Боскис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Р.М. Глухие и слабослышащие дети. - М.: Изд-во ЛПИ РСФСР 1963.</w:t>
      </w: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2.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Боскис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Р.М. Основы специального обучения слабослышащих детей. - М.: Изд-во АПН РСФСР, 1963.</w:t>
      </w: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3.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Боскис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Р.М. Развитие смысловой стороны речи у глухих и слабослышащих детей при раннем возникновении слухового дефекта (особенности усвоения учебного материала слабослышащими учащимися) / Под ред. Р.М.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Боскис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К.Г. Коровина. - М.: Педагогика, 1981.</w:t>
      </w: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4. Быкова Л.М. Динамика связной речи глухих учащихся в условиях использования предметно-практической деятельности / Сборник научных трудов ЛГПИ им. А.И. Герцена. Активизация познавательной деятельности глухих и слабослышащих учащихся. - Л., 1973.</w:t>
      </w: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5. Быкова Л.М. Развитие связной речи глухих учащихся начальных классов. - М.: Просвещение, 1980.</w:t>
      </w: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6. Гольдберг А.М. Особенности самостоятельной письменной речи глухих школьников (2-4 классы). - М.: Просвещение, 1966.</w:t>
      </w: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7.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Зикеев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А.Г. Развитие речи слабослышащих учащихся (1-4 классы 2-го отделения). - М.: Педагогика, 1976.</w:t>
      </w: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8. Зыков С.А. Методика обучения глухих детей языку. - М.: Просвещение, 1977.</w:t>
      </w: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9. Коровин К.Г. Построение предложений в письменной речи тугоухих учащихся / под ред. Р.М.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Боскис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- М.: Изд-во АПН </w:t>
      </w: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РСФСР, 1950.</w:t>
      </w:r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 xml:space="preserve">10. </w:t>
      </w:r>
      <w:proofErr w:type="spellStart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Шиф</w:t>
      </w:r>
      <w:proofErr w:type="spellEnd"/>
      <w:r w:rsidRPr="00B948A0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Ж.И. Усвоение языка и развитие мышления у глухих детей. - М.: Просвещение, 1968.</w:t>
      </w:r>
    </w:p>
    <w:sectPr w:rsidR="00336A77" w:rsidRPr="00B948A0" w:rsidSect="00D730F3">
      <w:pgSz w:w="11906" w:h="16838"/>
      <w:pgMar w:top="1134" w:right="850" w:bottom="1134" w:left="1701" w:header="708" w:footer="708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2B"/>
    <w:rsid w:val="00336A77"/>
    <w:rsid w:val="00725360"/>
    <w:rsid w:val="00B948A0"/>
    <w:rsid w:val="00D730F3"/>
    <w:rsid w:val="00E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7E0AB-9FDD-414E-91B7-0A5ABDE1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7471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2197</Words>
  <Characters>12524</Characters>
  <Application>Microsoft Office Word</Application>
  <DocSecurity>0</DocSecurity>
  <Lines>104</Lines>
  <Paragraphs>29</Paragraphs>
  <ScaleCrop>false</ScaleCrop>
  <Company/>
  <LinksUpToDate>false</LinksUpToDate>
  <CharactersWithSpaces>14692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Диана Р Сулейманова</cp:lastModifiedBy>
  <cp:revision>4</cp:revision>
  <dcterms:created xsi:type="dcterms:W3CDTF">2023-12-29T07:37:00Z</dcterms:created>
  <dcterms:modified xsi:type="dcterms:W3CDTF">2024-03-20T22:05:00Z</dcterms:modified>
</cp:coreProperties>
</file>